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001-33107</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CANADIAN SOLAR INC.</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4273 King Street East, Suite 102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Kitchener, Ontario, N2P 2E9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1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98" w:right="1440" w:bottom="1440" w:gutter="0" w:footer="0" w:header="0"/>
        </w:sectPr>
      </w:pPr>
    </w:p>
    <w:bookmarkStart w:id="1" w:name="page2"/>
    <w:bookmarkEnd w:id="1"/>
    <w:p>
      <w:pPr>
        <w:jc w:val="center"/>
        <w:ind w:right="-1100"/>
        <w:spacing w:after="0"/>
        <w:rPr>
          <w:sz w:val="20"/>
          <w:szCs w:val="20"/>
          <w:color w:val="auto"/>
        </w:rPr>
      </w:pPr>
      <w:r>
        <w:rPr>
          <w:rFonts w:ascii="Times New Roman" w:cs="Times New Roman" w:eastAsia="Times New Roman" w:hAnsi="Times New Roman"/>
          <w:sz w:val="18"/>
          <w:szCs w:val="18"/>
          <w:color w:val="auto"/>
        </w:rPr>
        <w:t>CANADIAN SOLAR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Form 6-K</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Explanatory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CSI Solar Co., Ltd. (“CSI Solar”), a majority-owned subsidiary of Canadian Solar Inc. (“Canadian Solar”) with its shares listed on the Shanghai Stock Exchange (“SSE”)’s Sci-Tech Innovation Board, has filed with the SSE its report regarding the third quarter of 2026 (the “</w:t>
      </w:r>
      <w:r>
        <w:rPr>
          <w:rFonts w:ascii="Times New Roman" w:cs="Times New Roman" w:eastAsia="Times New Roman" w:hAnsi="Times New Roman"/>
          <w:sz w:val="18"/>
          <w:szCs w:val="18"/>
          <w:b w:val="1"/>
          <w:bCs w:val="1"/>
          <w:color w:val="auto"/>
        </w:rPr>
        <w:t>2026 Third Quarter Report</w:t>
      </w:r>
      <w:r>
        <w:rPr>
          <w:rFonts w:ascii="Times New Roman" w:cs="Times New Roman" w:eastAsia="Times New Roman" w:hAnsi="Times New Roman"/>
          <w:sz w:val="18"/>
          <w:szCs w:val="18"/>
          <w:color w:val="auto"/>
        </w:rPr>
        <w:t>”). Currently, Canadian Solar owns approximately 64% of CSI Solar.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provides an English translation of the 2026 Third Quarter Report of CSI Solar.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contents of this Report on Form 6-K are hereby incorporated by reference into the Company’s registration statement on Form S-8 (File No. 333-299055) filed with the SEC on September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CANADIAN SOLAR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Colin Parkin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Colin Parkin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jc w:val="right"/>
        <w:ind w:right="3879"/>
        <w:spacing w:after="0"/>
        <w:rPr>
          <w:sz w:val="20"/>
          <w:szCs w:val="20"/>
          <w:color w:val="auto"/>
        </w:rPr>
      </w:pPr>
      <w:r>
        <w:rPr>
          <w:rFonts w:ascii="Times New Roman" w:cs="Times New Roman" w:eastAsia="Times New Roman" w:hAnsi="Times New Roman"/>
          <w:sz w:val="18"/>
          <w:szCs w:val="18"/>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CSI Solar Co., Ltd. 2026 Third Quarter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 w:name="page6"/>
    <w:bookmarkEnd w:id="5"/>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CSI Solar Co., Ltd. 2026 Third Quarter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tabs>
          <w:tab w:leader="none" w:pos="8660" w:val="left"/>
        </w:tabs>
        <w:rPr>
          <w:sz w:val="20"/>
          <w:szCs w:val="20"/>
          <w:color w:val="auto"/>
        </w:rPr>
      </w:pPr>
      <w:r>
        <w:rPr>
          <w:rFonts w:ascii="Times New Roman" w:cs="Times New Roman" w:eastAsia="Times New Roman" w:hAnsi="Times New Roman"/>
          <w:sz w:val="18"/>
          <w:szCs w:val="18"/>
          <w:color w:val="auto"/>
        </w:rPr>
        <w:t>SSE Stock Code: 688472</w:t>
      </w:r>
      <w:r>
        <w:rPr>
          <w:sz w:val="20"/>
          <w:szCs w:val="20"/>
          <w:color w:val="auto"/>
        </w:rPr>
        <w:tab/>
      </w:r>
      <w:r>
        <w:rPr>
          <w:rFonts w:ascii="Times New Roman" w:cs="Times New Roman" w:eastAsia="Times New Roman" w:hAnsi="Times New Roman"/>
          <w:sz w:val="17"/>
          <w:szCs w:val="17"/>
          <w:color w:val="auto"/>
        </w:rPr>
        <w:t>SSE Stock Abbreviation: CSI Solar</w:t>
      </w:r>
    </w:p>
    <w:p>
      <w:pPr>
        <w:spacing w:after="0" w:line="2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CSI Solar Co., Ltd.</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2026 Third Quarter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8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board of directors of CSI Solar Co., Ltd. (the “Company”) and all members of the board of directors guarantee that the information of this public announcement contains no misrepresentations, misleading statements, or material omissions, and they are legally responsible for the truthfulness, accuracy, and completeness of the information contained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board of directors, the directors, and senior management members of the Company guarantee that the information contained in this quarterly report is true, accurate, and complete without any false information, misleading statements or material omissions, and severally and jointly accept legal responsibility for the above.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person in charge of the Company, the person in charge of accounting function, and the person in charge of accounting institution (head of accounting department) guarantee that the financial statements contained in this quarterly report are true, accurate, and complete.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the financial statements for the third quarter have been audited:</w:t>
      </w:r>
    </w:p>
    <w:p>
      <w:pPr>
        <w:spacing w:after="0" w:line="184"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Yes √ No</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CSI Solar Co., Ltd. 2026 Third Quarter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Key Financial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Key Accounting Data and Financial Indicators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profit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profit attributable to the shareholders of the Company</w:t>
      </w:r>
    </w:p>
    <w:p>
      <w:pPr>
        <w:spacing w:after="0" w:line="2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profit attributable to the shareholders of the Company after deducting non-recurring gains and losses</w:t>
      </w:r>
    </w:p>
    <w:p>
      <w:pPr>
        <w:spacing w:after="0"/>
        <w:rPr>
          <w:sz w:val="20"/>
          <w:szCs w:val="20"/>
          <w:color w:val="auto"/>
        </w:rPr>
      </w:pPr>
      <w:r>
        <w:rPr>
          <w:rFonts w:ascii="Times New Roman" w:cs="Times New Roman" w:eastAsia="Times New Roman" w:hAnsi="Times New Roman"/>
          <w:sz w:val="18"/>
          <w:szCs w:val="18"/>
          <w:color w:val="auto"/>
        </w:rPr>
        <w:t>Net cash flow from operating activities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 (RMB/share)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earnings per share (RMB/share)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return on equity (%)</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R&amp;D expenditure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expenditure as a percentage of operating revenue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attributable to the shareholders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Unit: Yuan Currency: RMB</w:t>
            </w:r>
          </w:p>
        </w:tc>
      </w:tr>
      <w:tr>
        <w:trPr>
          <w:trHeight w:val="414"/>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For the Period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from the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Beginning of the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Increase/Decrease</w:t>
            </w: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Over the Same</w:t>
            </w: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Year to the End of</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Over the Same</w:t>
            </w:r>
          </w:p>
        </w:tc>
      </w:tr>
      <w:tr>
        <w:trPr>
          <w:trHeight w:val="216"/>
        </w:trPr>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Current Reporting</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Period Last Year</w:t>
            </w:r>
          </w:p>
        </w:tc>
        <w:tc>
          <w:tcPr>
            <w:tcW w:w="15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the Current</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Period Last Year</w:t>
            </w:r>
          </w:p>
        </w:tc>
      </w:tr>
      <w:tr>
        <w:trPr>
          <w:trHeight w:val="234"/>
        </w:trPr>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Period</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Reporting Period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8"/>
        </w:trPr>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5,862,796,815.70</w:t>
            </w:r>
          </w:p>
        </w:tc>
        <w:tc>
          <w:tcPr>
            <w:tcW w:w="100" w:type="dxa"/>
            <w:vAlign w:val="bottom"/>
          </w:tcPr>
          <w:p>
            <w:pPr>
              <w:spacing w:after="0"/>
              <w:rPr>
                <w:sz w:val="18"/>
                <w:szCs w:val="18"/>
                <w:color w:val="auto"/>
              </w:rPr>
            </w:pP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Pr>
          <w:p>
            <w:pPr>
              <w:spacing w:after="0"/>
              <w:rPr>
                <w:sz w:val="18"/>
                <w:szCs w:val="18"/>
                <w:color w:val="auto"/>
              </w:rPr>
            </w:pPr>
          </w:p>
        </w:tc>
        <w:tc>
          <w:tcPr>
            <w:tcW w:w="1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18,647,208,646.72</w:t>
            </w: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Pr>
          <w:p>
            <w:pPr>
              <w:spacing w:after="0"/>
              <w:rPr>
                <w:sz w:val="18"/>
                <w:szCs w:val="18"/>
                <w:color w:val="auto"/>
              </w:rPr>
            </w:pPr>
          </w:p>
        </w:tc>
      </w:tr>
      <w:tr>
        <w:trPr>
          <w:trHeight w:val="229"/>
        </w:trPr>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-483,050,106.11</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-393.83</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167,052,056.40</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-83.41</w:t>
            </w:r>
          </w:p>
        </w:tc>
      </w:tr>
      <w:tr>
        <w:trPr>
          <w:trHeight w:val="234"/>
        </w:trPr>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-394,859,604.02</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-253.09</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-95,260,650.29</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-109.63</w:t>
            </w:r>
          </w:p>
        </w:tc>
      </w:tr>
      <w:tr>
        <w:trPr>
          <w:trHeight w:val="441"/>
        </w:trPr>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-496,541,412.51</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-275.10</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-749,127,178.97</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-166.92</w:t>
            </w:r>
          </w:p>
        </w:tc>
      </w:tr>
      <w:tr>
        <w:trPr>
          <w:trHeight w:val="230"/>
        </w:trPr>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774,500,475.28</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-54.10</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-119,535,246.80</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-102.19</w:t>
            </w:r>
          </w:p>
        </w:tc>
      </w:tr>
      <w:tr>
        <w:trPr>
          <w:trHeight w:val="229"/>
        </w:trPr>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-257.14</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-111.11</w:t>
            </w:r>
          </w:p>
        </w:tc>
      </w:tr>
      <w:tr>
        <w:trPr>
          <w:trHeight w:val="216"/>
        </w:trPr>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-257.14</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-111.11</w:t>
            </w: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Decreased by</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Decreased by</w:t>
            </w: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2.86 percentage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 percentage</w:t>
            </w:r>
          </w:p>
        </w:tc>
      </w:tr>
      <w:tr>
        <w:trPr>
          <w:trHeight w:val="229"/>
        </w:trPr>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points</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-0.42</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points</w:t>
            </w:r>
          </w:p>
        </w:tc>
      </w:tr>
      <w:tr>
        <w:trPr>
          <w:trHeight w:val="216"/>
        </w:trPr>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138,483,269.19</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415,019,660.51</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w:t>
            </w: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Increased by</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Increased by</w:t>
            </w: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0.96 percentage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0.64 percentage</w:t>
            </w:r>
          </w:p>
        </w:tc>
      </w:tr>
      <w:tr>
        <w:trPr>
          <w:trHeight w:val="234"/>
        </w:trPr>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points</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points</w:t>
            </w:r>
          </w:p>
        </w:tc>
      </w:tr>
      <w:tr>
        <w:trPr>
          <w:trHeight w:val="441"/>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Increase/Decrease</w:t>
            </w: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at the End of</w:t>
            </w: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Current</w:t>
            </w: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Reporting Period</w:t>
            </w: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over the End of</w:t>
            </w:r>
          </w:p>
        </w:tc>
      </w:tr>
      <w:tr>
        <w:trPr>
          <w:trHeight w:val="216"/>
        </w:trPr>
        <w:tc>
          <w:tcPr>
            <w:tcW w:w="1100" w:type="dxa"/>
            <w:vAlign w:val="bottom"/>
          </w:tcPr>
          <w:p>
            <w:pPr>
              <w:spacing w:after="0"/>
              <w:rPr>
                <w:sz w:val="18"/>
                <w:szCs w:val="18"/>
                <w:color w:val="auto"/>
              </w:rPr>
            </w:pPr>
          </w:p>
        </w:tc>
        <w:tc>
          <w:tcPr>
            <w:tcW w:w="17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End of Current</w:t>
            </w: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End of Previous</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Previous Year</w:t>
            </w:r>
          </w:p>
        </w:tc>
      </w:tr>
      <w:tr>
        <w:trPr>
          <w:trHeight w:val="234"/>
        </w:trPr>
        <w:tc>
          <w:tcPr>
            <w:tcW w:w="1100" w:type="dxa"/>
            <w:vAlign w:val="bottom"/>
          </w:tcPr>
          <w:p>
            <w:pPr>
              <w:spacing w:after="0"/>
              <w:rPr>
                <w:sz w:val="20"/>
                <w:szCs w:val="20"/>
                <w:color w:val="auto"/>
              </w:rPr>
            </w:pPr>
          </w:p>
        </w:tc>
        <w:tc>
          <w:tcPr>
            <w:tcW w:w="17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Reporting Period</w:t>
            </w:r>
          </w:p>
        </w:tc>
        <w:tc>
          <w:tcPr>
            <w:tcW w:w="15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Year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191"/>
        </w:trPr>
        <w:tc>
          <w:tcPr>
            <w:tcW w:w="1100" w:type="dxa"/>
            <w:vAlign w:val="bottom"/>
          </w:tcPr>
          <w:p>
            <w:pPr>
              <w:spacing w:after="0"/>
              <w:rPr>
                <w:sz w:val="16"/>
                <w:szCs w:val="16"/>
                <w:color w:val="auto"/>
              </w:rPr>
            </w:pPr>
          </w:p>
        </w:tc>
        <w:tc>
          <w:tcPr>
            <w:tcW w:w="1460" w:type="dxa"/>
            <w:vAlign w:val="bottom"/>
            <w:tcBorders>
              <w:top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w w:val="97"/>
              </w:rPr>
              <w:t>58,250,893,426.64</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64,378,089,598.43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6"/>
                <w:szCs w:val="16"/>
                <w:color w:val="auto"/>
              </w:rPr>
            </w:pPr>
          </w:p>
        </w:tc>
      </w:tr>
      <w:tr>
        <w:trPr>
          <w:trHeight w:val="234"/>
        </w:trPr>
        <w:tc>
          <w:tcPr>
            <w:tcW w:w="278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21,909,720,544.98</w:t>
            </w:r>
          </w:p>
        </w:tc>
        <w:tc>
          <w:tcPr>
            <w:tcW w:w="1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23,394,375,286.53</w:t>
            </w:r>
          </w:p>
        </w:tc>
        <w:tc>
          <w:tcPr>
            <w:tcW w:w="12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-3231515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-2802890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-2510790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-1953895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-3531235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-282575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60" w:space="720"/>
            <w:col w:w="586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Note: “Current reporting period” refers to the three-month period from the beginning to the end of the quarter, unless otherwise stated.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CSI Solar Co., Ltd. 2026 Third Quarter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Non-recurring Gain and Loss Items and Amounts</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 Applicable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Unit: Yuan Currency: RMB</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Non-recurring Gain and Loss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Gains and losses on disposal of non-current assets, including the written-off portion of asset impairment provisions made</w:t>
      </w:r>
    </w:p>
    <w:p>
      <w:pPr>
        <w:spacing w:after="0" w:line="255" w:lineRule="auto"/>
        <w:rPr>
          <w:sz w:val="20"/>
          <w:szCs w:val="20"/>
          <w:color w:val="auto"/>
        </w:rPr>
      </w:pPr>
      <w:r>
        <w:rPr>
          <w:rFonts w:ascii="Times New Roman" w:cs="Times New Roman" w:eastAsia="Times New Roman" w:hAnsi="Times New Roman"/>
          <w:sz w:val="18"/>
          <w:szCs w:val="18"/>
          <w:color w:val="auto"/>
        </w:rPr>
        <w:t>Government grants included in the current profit and loss, except for those which are closely related to the Company’s ordinary operations, comply with national policies and regulations, and continuously received in certain standard amounts or quantities</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Gains and losses from changes in fair value of financial assets and liabilities by non-financial enterprise, and gains and losses on disposal of financial assets and liabilities, except for effective hedging transactions related to the Company’s ordinary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419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Profits and losses from entrusting investment or management of assets to others</w:t>
      </w:r>
    </w:p>
    <w:p>
      <w:pPr>
        <w:spacing w:after="0" w:line="23"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Reversal of provision for impairment of accounts receivable that are individually tested for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82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ind w:right="2800"/>
        <w:spacing w:after="0" w:line="266" w:lineRule="auto"/>
        <w:rPr>
          <w:sz w:val="20"/>
          <w:szCs w:val="20"/>
          <w:color w:val="auto"/>
        </w:rPr>
      </w:pPr>
      <w:r>
        <w:rPr>
          <w:rFonts w:ascii="Times New Roman" w:cs="Times New Roman" w:eastAsia="Times New Roman" w:hAnsi="Times New Roman"/>
          <w:sz w:val="18"/>
          <w:szCs w:val="18"/>
          <w:color w:val="auto"/>
        </w:rPr>
        <w:t>Other non-operating gains and losses other than the above Less: Effect of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Effect of minority interests (after tax)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Amount from the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Beginning</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of the Year to the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Amount for the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End of the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Current Reporting</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Current Reporting</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Explanation</w:t>
            </w:r>
          </w:p>
        </w:tc>
        <w:tc>
          <w:tcPr>
            <w:tcW w:w="0" w:type="dxa"/>
            <w:vAlign w:val="bottom"/>
          </w:tcPr>
          <w:p>
            <w:pPr>
              <w:spacing w:after="0"/>
              <w:rPr>
                <w:sz w:val="1"/>
                <w:szCs w:val="1"/>
                <w:color w:val="auto"/>
              </w:rPr>
            </w:pPr>
          </w:p>
        </w:tc>
      </w:tr>
      <w:tr>
        <w:trPr>
          <w:trHeight w:val="234"/>
        </w:trPr>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12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166,922,238.06</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321,285,575.21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16,985,887.81</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72,598,323.19</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7"/>
        </w:trPr>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-63,004,262.64</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450,735,943.86</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819,387.27</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3,557,896.92</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845,723.50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1,343,925.31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1,142,360.23</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-438,658.01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22,112,199.97</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195,787,711.99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-82,674.23</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-571,234.19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101,681,808.49</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653,866,528.68</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6980" w:space="120"/>
            <w:col w:w="4140"/>
          </w:cols>
          <w:pgMar w:left="320" w:top="684"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Explanations shall be given on significant items classified as non-recurring gains and losses by the Company that are not set out in the “Explanatory Announcement No. 1 on Information Disclosure by Companies Offering Securities to the Public - Non-recurring Gain and Loss”, and on non-recurring gains and losses items set out in the “Explanatory Announcement No. 1 on Information Disclosure by Companies Offering Securities to the Public - Non-recurring Gain and Loss” but classified as ordinary gains and losses by the Company.</w:t>
      </w:r>
    </w:p>
    <w:p>
      <w:pPr>
        <w:spacing w:after="0" w:line="180" w:lineRule="exact"/>
        <w:rPr>
          <w:sz w:val="20"/>
          <w:szCs w:val="20"/>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Applicable √ 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CSI Solar Co., Ltd. 2026 Third Quarter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ind w:right="4540"/>
        <w:spacing w:after="0" w:line="349" w:lineRule="exact"/>
        <w:rPr>
          <w:sz w:val="20"/>
          <w:szCs w:val="20"/>
          <w:color w:val="auto"/>
        </w:rPr>
      </w:pPr>
      <w:r>
        <w:rPr>
          <w:rFonts w:ascii="Times New Roman" w:cs="Times New Roman" w:eastAsia="Times New Roman" w:hAnsi="Times New Roman"/>
          <w:sz w:val="18"/>
          <w:szCs w:val="18"/>
          <w:b w:val="1"/>
          <w:bCs w:val="1"/>
          <w:color w:val="auto"/>
        </w:rPr>
        <w:t xml:space="preserve">(3) Changes in Key Accounting Data and Financial Indicators and the Reasons Thereof </w:t>
      </w:r>
      <w:r>
        <w:rPr>
          <w:rFonts w:ascii="Times New Roman" w:cs="Times New Roman" w:eastAsia="Times New Roman" w:hAnsi="Times New Roman"/>
          <w:sz w:val="18"/>
          <w:szCs w:val="18"/>
          <w:color w:val="auto"/>
        </w:rPr>
        <w:t xml:space="preserve">√ Applicable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860" w:type="dxa"/>
            <w:vAlign w:val="bottom"/>
            <w:tcBorders>
              <w:top w:val="single" w:sz="8" w:color="auto"/>
              <w:left w:val="single" w:sz="8" w:color="auto"/>
              <w:bottom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Item</w:t>
            </w:r>
          </w:p>
        </w:tc>
        <w:tc>
          <w:tcPr>
            <w:tcW w:w="2020" w:type="dxa"/>
            <w:vAlign w:val="bottom"/>
            <w:tcBorders>
              <w:top w:val="single" w:sz="8" w:color="auto"/>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Change (%)</w:t>
            </w:r>
          </w:p>
        </w:tc>
        <w:tc>
          <w:tcPr>
            <w:tcW w:w="4360" w:type="dxa"/>
            <w:vAlign w:val="bottom"/>
            <w:tcBorders>
              <w:top w:val="single" w:sz="8" w:color="auto"/>
              <w:bottom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Main Reason</w:t>
            </w:r>
          </w:p>
        </w:tc>
        <w:tc>
          <w:tcPr>
            <w:tcW w:w="0" w:type="dxa"/>
            <w:vAlign w:val="bottom"/>
          </w:tcPr>
          <w:p>
            <w:pPr>
              <w:spacing w:after="0"/>
              <w:rPr>
                <w:sz w:val="1"/>
                <w:szCs w:val="1"/>
                <w:color w:val="auto"/>
              </w:rPr>
            </w:pPr>
          </w:p>
        </w:tc>
      </w:tr>
      <w:tr>
        <w:trPr>
          <w:trHeight w:val="210"/>
        </w:trPr>
        <w:tc>
          <w:tcPr>
            <w:tcW w:w="4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Operating revenue _ current reporting period</w:t>
            </w:r>
          </w:p>
        </w:tc>
        <w:tc>
          <w:tcPr>
            <w:tcW w:w="2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-42.63</w:t>
            </w:r>
          </w:p>
        </w:tc>
        <w:tc>
          <w:tcPr>
            <w:tcW w:w="4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Operating revenue _ from beginning of the year to the end of</w:t>
            </w:r>
          </w:p>
        </w:tc>
        <w:tc>
          <w:tcPr>
            <w:tcW w:w="20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-40.37</w:t>
            </w:r>
          </w:p>
        </w:tc>
        <w:tc>
          <w:tcPr>
            <w:tcW w:w="4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current reporting period</w:t>
            </w:r>
          </w:p>
        </w:tc>
        <w:tc>
          <w:tcPr>
            <w:tcW w:w="2020" w:type="dxa"/>
            <w:vAlign w:val="bottom"/>
            <w:tcBorders>
              <w:right w:val="single" w:sz="8" w:color="auto"/>
            </w:tcBorders>
            <w:vMerge w:val="continue"/>
          </w:tcPr>
          <w:p>
            <w:pPr>
              <w:spacing w:after="0"/>
              <w:rPr>
                <w:sz w:val="10"/>
                <w:szCs w:val="10"/>
                <w:color w:val="auto"/>
              </w:rPr>
            </w:pPr>
          </w:p>
        </w:tc>
        <w:tc>
          <w:tcPr>
            <w:tcW w:w="4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4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profit _ current reporting period</w:t>
            </w:r>
          </w:p>
        </w:tc>
        <w:tc>
          <w:tcPr>
            <w:tcW w:w="2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-393.83</w:t>
            </w:r>
          </w:p>
        </w:tc>
        <w:tc>
          <w:tcPr>
            <w:tcW w:w="4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Total profit _ from beginning of the year to the end of current</w:t>
            </w:r>
          </w:p>
        </w:tc>
        <w:tc>
          <w:tcPr>
            <w:tcW w:w="20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-83.41</w:t>
            </w:r>
          </w:p>
        </w:tc>
        <w:tc>
          <w:tcPr>
            <w:tcW w:w="4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reporting period</w:t>
            </w:r>
          </w:p>
        </w:tc>
        <w:tc>
          <w:tcPr>
            <w:tcW w:w="2020" w:type="dxa"/>
            <w:vAlign w:val="bottom"/>
            <w:tcBorders>
              <w:right w:val="single" w:sz="8" w:color="auto"/>
            </w:tcBorders>
            <w:vMerge w:val="continue"/>
          </w:tcPr>
          <w:p>
            <w:pPr>
              <w:spacing w:after="0"/>
              <w:rPr>
                <w:sz w:val="10"/>
                <w:szCs w:val="10"/>
                <w:color w:val="auto"/>
              </w:rPr>
            </w:pPr>
          </w:p>
        </w:tc>
        <w:tc>
          <w:tcPr>
            <w:tcW w:w="4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4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Amid intensifying industry competition and downward</w:t>
            </w:r>
          </w:p>
        </w:tc>
        <w:tc>
          <w:tcPr>
            <w:tcW w:w="0" w:type="dxa"/>
            <w:vAlign w:val="bottom"/>
          </w:tcPr>
          <w:p>
            <w:pPr>
              <w:spacing w:after="0"/>
              <w:rPr>
                <w:sz w:val="1"/>
                <w:szCs w:val="1"/>
                <w:color w:val="auto"/>
              </w:rPr>
            </w:pPr>
          </w:p>
        </w:tc>
      </w:tr>
      <w:tr>
        <w:trPr>
          <w:trHeight w:val="178"/>
        </w:trPr>
        <w:tc>
          <w:tcPr>
            <w:tcW w:w="4860" w:type="dxa"/>
            <w:vAlign w:val="bottom"/>
            <w:tcBorders>
              <w:left w:val="single" w:sz="8" w:color="auto"/>
              <w:right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Net profit attributable to the shareholders of the Company _</w:t>
            </w:r>
          </w:p>
        </w:tc>
        <w:tc>
          <w:tcPr>
            <w:tcW w:w="20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-253.09</w:t>
            </w:r>
          </w:p>
        </w:tc>
        <w:tc>
          <w:tcPr>
            <w:tcW w:w="43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current reporting period</w:t>
            </w:r>
          </w:p>
        </w:tc>
        <w:tc>
          <w:tcPr>
            <w:tcW w:w="2020" w:type="dxa"/>
            <w:vAlign w:val="bottom"/>
            <w:tcBorders>
              <w:right w:val="single" w:sz="8" w:color="auto"/>
            </w:tcBorders>
            <w:vMerge w:val="continue"/>
          </w:tcPr>
          <w:p>
            <w:pPr>
              <w:spacing w:after="0"/>
              <w:rPr>
                <w:sz w:val="12"/>
                <w:szCs w:val="12"/>
                <w:color w:val="auto"/>
              </w:rPr>
            </w:pPr>
          </w:p>
        </w:tc>
        <w:tc>
          <w:tcPr>
            <w:tcW w:w="4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pressure on product prices, the growth of the Company's</w:t>
            </w:r>
          </w:p>
        </w:tc>
        <w:tc>
          <w:tcPr>
            <w:tcW w:w="0" w:type="dxa"/>
            <w:vAlign w:val="bottom"/>
          </w:tcPr>
          <w:p>
            <w:pPr>
              <w:spacing w:after="0"/>
              <w:rPr>
                <w:sz w:val="1"/>
                <w:szCs w:val="1"/>
                <w:color w:val="auto"/>
              </w:rPr>
            </w:pPr>
          </w:p>
        </w:tc>
      </w:tr>
      <w:tr>
        <w:trPr>
          <w:trHeight w:val="76"/>
        </w:trPr>
        <w:tc>
          <w:tcPr>
            <w:tcW w:w="4860" w:type="dxa"/>
            <w:vAlign w:val="bottom"/>
            <w:tcBorders>
              <w:left w:val="single" w:sz="8" w:color="auto"/>
              <w:right w:val="single" w:sz="8" w:color="auto"/>
            </w:tcBorders>
            <w:vMerge w:val="continue"/>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43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energy storage segment was insufficient to offset the</w:t>
            </w:r>
          </w:p>
        </w:tc>
        <w:tc>
          <w:tcPr>
            <w:tcW w:w="0" w:type="dxa"/>
            <w:vAlign w:val="bottom"/>
          </w:tcPr>
          <w:p>
            <w:pPr>
              <w:spacing w:after="0"/>
              <w:rPr>
                <w:sz w:val="1"/>
                <w:szCs w:val="1"/>
                <w:color w:val="auto"/>
              </w:rPr>
            </w:pPr>
          </w:p>
        </w:tc>
      </w:tr>
      <w:tr>
        <w:trPr>
          <w:trHeight w:val="164"/>
        </w:trPr>
        <w:tc>
          <w:tcPr>
            <w:tcW w:w="4860" w:type="dxa"/>
            <w:vAlign w:val="bottom"/>
            <w:tcBorders>
              <w:left w:val="single" w:sz="8" w:color="auto"/>
              <w:right w:val="single" w:sz="8" w:color="auto"/>
            </w:tcBorders>
          </w:tcPr>
          <w:p>
            <w:pPr>
              <w:ind w:left="120"/>
              <w:spacing w:after="0" w:line="164" w:lineRule="exact"/>
              <w:rPr>
                <w:sz w:val="20"/>
                <w:szCs w:val="20"/>
                <w:color w:val="auto"/>
              </w:rPr>
            </w:pPr>
            <w:r>
              <w:rPr>
                <w:rFonts w:ascii="Times New Roman" w:cs="Times New Roman" w:eastAsia="Times New Roman" w:hAnsi="Times New Roman"/>
                <w:sz w:val="18"/>
                <w:szCs w:val="18"/>
                <w:color w:val="auto"/>
              </w:rPr>
              <w:t>Net profit attributable to the shareholders of the Company _</w:t>
            </w:r>
          </w:p>
        </w:tc>
        <w:tc>
          <w:tcPr>
            <w:tcW w:w="2020" w:type="dxa"/>
            <w:vAlign w:val="bottom"/>
            <w:tcBorders>
              <w:right w:val="single" w:sz="8" w:color="auto"/>
            </w:tcBorders>
          </w:tcPr>
          <w:p>
            <w:pPr>
              <w:spacing w:after="0"/>
              <w:rPr>
                <w:sz w:val="14"/>
                <w:szCs w:val="14"/>
                <w:color w:val="auto"/>
              </w:rPr>
            </w:pPr>
          </w:p>
        </w:tc>
        <w:tc>
          <w:tcPr>
            <w:tcW w:w="43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from beginning of the year to the end of current reporting</w:t>
            </w:r>
          </w:p>
        </w:tc>
        <w:tc>
          <w:tcPr>
            <w:tcW w:w="20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-109.63</w:t>
            </w:r>
          </w:p>
        </w:tc>
        <w:tc>
          <w:tcPr>
            <w:tcW w:w="4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decline  in  shipment  volumes  in  the  solar  segment,</w:t>
            </w:r>
          </w:p>
        </w:tc>
        <w:tc>
          <w:tcPr>
            <w:tcW w:w="0" w:type="dxa"/>
            <w:vAlign w:val="bottom"/>
          </w:tcPr>
          <w:p>
            <w:pPr>
              <w:spacing w:after="0"/>
              <w:rPr>
                <w:sz w:val="1"/>
                <w:szCs w:val="1"/>
                <w:color w:val="auto"/>
              </w:rPr>
            </w:pPr>
          </w:p>
        </w:tc>
      </w:tr>
      <w:tr>
        <w:trPr>
          <w:trHeight w:val="261"/>
        </w:trPr>
        <w:tc>
          <w:tcPr>
            <w:tcW w:w="4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period</w:t>
            </w:r>
          </w:p>
        </w:tc>
        <w:tc>
          <w:tcPr>
            <w:tcW w:w="2020" w:type="dxa"/>
            <w:vAlign w:val="bottom"/>
            <w:tcBorders>
              <w:bottom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resulting in decreases in both revenue and profit.</w:t>
            </w:r>
          </w:p>
        </w:tc>
        <w:tc>
          <w:tcPr>
            <w:tcW w:w="0" w:type="dxa"/>
            <w:vAlign w:val="bottom"/>
          </w:tcPr>
          <w:p>
            <w:pPr>
              <w:spacing w:after="0"/>
              <w:rPr>
                <w:sz w:val="1"/>
                <w:szCs w:val="1"/>
                <w:color w:val="auto"/>
              </w:rPr>
            </w:pPr>
          </w:p>
        </w:tc>
      </w:tr>
      <w:tr>
        <w:trPr>
          <w:trHeight w:val="191"/>
        </w:trPr>
        <w:tc>
          <w:tcPr>
            <w:tcW w:w="48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Net profit attributable to the shareholders of the Company after</w:t>
            </w:r>
          </w:p>
        </w:tc>
        <w:tc>
          <w:tcPr>
            <w:tcW w:w="2020" w:type="dxa"/>
            <w:vAlign w:val="bottom"/>
            <w:tcBorders>
              <w:right w:val="single" w:sz="8" w:color="auto"/>
            </w:tcBorders>
          </w:tcPr>
          <w:p>
            <w:pPr>
              <w:spacing w:after="0"/>
              <w:rPr>
                <w:sz w:val="16"/>
                <w:szCs w:val="16"/>
                <w:color w:val="auto"/>
              </w:rPr>
            </w:pPr>
          </w:p>
        </w:tc>
        <w:tc>
          <w:tcPr>
            <w:tcW w:w="4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deducting non-recurring gains and losses _ current reporting</w:t>
            </w:r>
          </w:p>
        </w:tc>
        <w:tc>
          <w:tcPr>
            <w:tcW w:w="20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-275.10</w:t>
            </w:r>
          </w:p>
        </w:tc>
        <w:tc>
          <w:tcPr>
            <w:tcW w:w="4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period</w:t>
            </w:r>
          </w:p>
        </w:tc>
        <w:tc>
          <w:tcPr>
            <w:tcW w:w="2020" w:type="dxa"/>
            <w:vAlign w:val="bottom"/>
            <w:tcBorders>
              <w:bottom w:val="single" w:sz="8" w:color="auto"/>
              <w:right w:val="single" w:sz="8" w:color="auto"/>
            </w:tcBorders>
          </w:tcPr>
          <w:p>
            <w:pPr>
              <w:spacing w:after="0"/>
              <w:rPr>
                <w:sz w:val="20"/>
                <w:szCs w:val="20"/>
                <w:color w:val="auto"/>
              </w:rPr>
            </w:pPr>
          </w:p>
        </w:tc>
        <w:tc>
          <w:tcPr>
            <w:tcW w:w="4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Net profit attributable to the shareholders of the Company after</w:t>
            </w:r>
          </w:p>
        </w:tc>
        <w:tc>
          <w:tcPr>
            <w:tcW w:w="2020" w:type="dxa"/>
            <w:vAlign w:val="bottom"/>
            <w:tcBorders>
              <w:right w:val="single" w:sz="8" w:color="auto"/>
            </w:tcBorders>
          </w:tcPr>
          <w:p>
            <w:pPr>
              <w:spacing w:after="0"/>
              <w:rPr>
                <w:sz w:val="16"/>
                <w:szCs w:val="16"/>
                <w:color w:val="auto"/>
              </w:rPr>
            </w:pPr>
          </w:p>
        </w:tc>
        <w:tc>
          <w:tcPr>
            <w:tcW w:w="4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deducting non-recurring gains and losses _ from beginning of</w:t>
            </w:r>
          </w:p>
        </w:tc>
        <w:tc>
          <w:tcPr>
            <w:tcW w:w="20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-166.92</w:t>
            </w:r>
          </w:p>
        </w:tc>
        <w:tc>
          <w:tcPr>
            <w:tcW w:w="4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year to the end of current reporting period</w:t>
            </w:r>
          </w:p>
        </w:tc>
        <w:tc>
          <w:tcPr>
            <w:tcW w:w="2020" w:type="dxa"/>
            <w:vAlign w:val="bottom"/>
            <w:tcBorders>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Net cash flow from operating activities _ current reporting</w:t>
            </w:r>
          </w:p>
        </w:tc>
        <w:tc>
          <w:tcPr>
            <w:tcW w:w="20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-54.10</w:t>
            </w:r>
          </w:p>
        </w:tc>
        <w:tc>
          <w:tcPr>
            <w:tcW w:w="43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Mainly due to the decline in the Company’s sales volume</w:t>
            </w:r>
          </w:p>
        </w:tc>
        <w:tc>
          <w:tcPr>
            <w:tcW w:w="0" w:type="dxa"/>
            <w:vAlign w:val="bottom"/>
          </w:tcPr>
          <w:p>
            <w:pPr>
              <w:spacing w:after="0"/>
              <w:rPr>
                <w:sz w:val="1"/>
                <w:szCs w:val="1"/>
                <w:color w:val="auto"/>
              </w:rPr>
            </w:pPr>
          </w:p>
        </w:tc>
      </w:tr>
      <w:tr>
        <w:trPr>
          <w:trHeight w:val="126"/>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period</w:t>
            </w:r>
          </w:p>
        </w:tc>
        <w:tc>
          <w:tcPr>
            <w:tcW w:w="2020" w:type="dxa"/>
            <w:vAlign w:val="bottom"/>
            <w:tcBorders>
              <w:right w:val="single" w:sz="8" w:color="auto"/>
            </w:tcBorders>
            <w:vMerge w:val="continue"/>
          </w:tcPr>
          <w:p>
            <w:pPr>
              <w:spacing w:after="0"/>
              <w:rPr>
                <w:sz w:val="10"/>
                <w:szCs w:val="10"/>
                <w:color w:val="auto"/>
              </w:rPr>
            </w:pPr>
          </w:p>
        </w:tc>
        <w:tc>
          <w:tcPr>
            <w:tcW w:w="4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and average selling prices (“ASP”), which</w:t>
            </w:r>
          </w:p>
        </w:tc>
        <w:tc>
          <w:tcPr>
            <w:tcW w:w="0" w:type="dxa"/>
            <w:vAlign w:val="bottom"/>
          </w:tcPr>
          <w:p>
            <w:pPr>
              <w:spacing w:after="0"/>
              <w:rPr>
                <w:sz w:val="1"/>
                <w:szCs w:val="1"/>
                <w:color w:val="auto"/>
              </w:rPr>
            </w:pPr>
          </w:p>
        </w:tc>
      </w:tr>
      <w:tr>
        <w:trPr>
          <w:trHeight w:val="108"/>
        </w:trPr>
        <w:tc>
          <w:tcPr>
            <w:tcW w:w="48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4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36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correspondingly reduced both cash received from sale of</w:t>
            </w:r>
          </w:p>
        </w:tc>
        <w:tc>
          <w:tcPr>
            <w:tcW w:w="0" w:type="dxa"/>
            <w:vAlign w:val="bottom"/>
          </w:tcPr>
          <w:p>
            <w:pPr>
              <w:spacing w:after="0"/>
              <w:rPr>
                <w:sz w:val="1"/>
                <w:szCs w:val="1"/>
                <w:color w:val="auto"/>
              </w:rPr>
            </w:pPr>
          </w:p>
        </w:tc>
      </w:tr>
      <w:tr>
        <w:trPr>
          <w:trHeight w:val="216"/>
        </w:trPr>
        <w:tc>
          <w:tcPr>
            <w:tcW w:w="48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goods and provision of services and cash paid for</w:t>
            </w:r>
          </w:p>
        </w:tc>
        <w:tc>
          <w:tcPr>
            <w:tcW w:w="0" w:type="dxa"/>
            <w:vAlign w:val="bottom"/>
          </w:tcPr>
          <w:p>
            <w:pPr>
              <w:spacing w:after="0"/>
              <w:rPr>
                <w:sz w:val="1"/>
                <w:szCs w:val="1"/>
                <w:color w:val="auto"/>
              </w:rPr>
            </w:pPr>
          </w:p>
        </w:tc>
      </w:tr>
      <w:tr>
        <w:trPr>
          <w:trHeight w:val="216"/>
        </w:trPr>
        <w:tc>
          <w:tcPr>
            <w:tcW w:w="48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 of goods and services rendered. As the decrease</w:t>
            </w:r>
          </w:p>
        </w:tc>
        <w:tc>
          <w:tcPr>
            <w:tcW w:w="0" w:type="dxa"/>
            <w:vAlign w:val="bottom"/>
          </w:tcPr>
          <w:p>
            <w:pPr>
              <w:spacing w:after="0"/>
              <w:rPr>
                <w:sz w:val="1"/>
                <w:szCs w:val="1"/>
                <w:color w:val="auto"/>
              </w:rPr>
            </w:pPr>
          </w:p>
        </w:tc>
      </w:tr>
      <w:tr>
        <w:trPr>
          <w:trHeight w:val="216"/>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Net cash flow from operating activities _ from beginning of the</w:t>
            </w:r>
          </w:p>
        </w:tc>
        <w:tc>
          <w:tcPr>
            <w:tcW w:w="202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 cash received from sale of goods and provision of</w:t>
            </w:r>
          </w:p>
        </w:tc>
        <w:tc>
          <w:tcPr>
            <w:tcW w:w="0" w:type="dxa"/>
            <w:vAlign w:val="bottom"/>
          </w:tcPr>
          <w:p>
            <w:pPr>
              <w:spacing w:after="0"/>
              <w:rPr>
                <w:sz w:val="1"/>
                <w:szCs w:val="1"/>
                <w:color w:val="auto"/>
              </w:rPr>
            </w:pPr>
          </w:p>
        </w:tc>
      </w:tr>
      <w:tr>
        <w:trPr>
          <w:trHeight w:val="108"/>
        </w:trPr>
        <w:tc>
          <w:tcPr>
            <w:tcW w:w="4860" w:type="dxa"/>
            <w:vAlign w:val="bottom"/>
            <w:tcBorders>
              <w:left w:val="single" w:sz="8" w:color="auto"/>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-102.19</w:t>
            </w:r>
          </w:p>
        </w:tc>
        <w:tc>
          <w:tcPr>
            <w:tcW w:w="4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services exceeded the decrease in cash paid for purchase</w:t>
            </w:r>
          </w:p>
        </w:tc>
        <w:tc>
          <w:tcPr>
            <w:tcW w:w="0" w:type="dxa"/>
            <w:vAlign w:val="bottom"/>
          </w:tcPr>
          <w:p>
            <w:pPr>
              <w:spacing w:after="0"/>
              <w:rPr>
                <w:sz w:val="1"/>
                <w:szCs w:val="1"/>
                <w:color w:val="auto"/>
              </w:rPr>
            </w:pPr>
          </w:p>
        </w:tc>
      </w:tr>
      <w:tr>
        <w:trPr>
          <w:trHeight w:val="108"/>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year to the end of current reporting period</w:t>
            </w:r>
          </w:p>
        </w:tc>
        <w:tc>
          <w:tcPr>
            <w:tcW w:w="2020" w:type="dxa"/>
            <w:vAlign w:val="bottom"/>
            <w:tcBorders>
              <w:right w:val="single" w:sz="8" w:color="auto"/>
            </w:tcBorders>
            <w:vMerge w:val="continue"/>
          </w:tcPr>
          <w:p>
            <w:pPr>
              <w:spacing w:after="0"/>
              <w:rPr>
                <w:sz w:val="9"/>
                <w:szCs w:val="9"/>
                <w:color w:val="auto"/>
              </w:rPr>
            </w:pPr>
          </w:p>
        </w:tc>
        <w:tc>
          <w:tcPr>
            <w:tcW w:w="4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860" w:type="dxa"/>
            <w:vAlign w:val="bottom"/>
            <w:tcBorders>
              <w:left w:val="single" w:sz="8" w:color="auto"/>
              <w:right w:val="single" w:sz="8" w:color="auto"/>
            </w:tcBorders>
            <w:vMerge w:val="continue"/>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4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of goods and services rendered, net cash flows from</w:t>
            </w:r>
          </w:p>
        </w:tc>
        <w:tc>
          <w:tcPr>
            <w:tcW w:w="0" w:type="dxa"/>
            <w:vAlign w:val="bottom"/>
          </w:tcPr>
          <w:p>
            <w:pPr>
              <w:spacing w:after="0"/>
              <w:rPr>
                <w:sz w:val="1"/>
                <w:szCs w:val="1"/>
                <w:color w:val="auto"/>
              </w:rPr>
            </w:pPr>
          </w:p>
        </w:tc>
      </w:tr>
      <w:tr>
        <w:trPr>
          <w:trHeight w:val="90"/>
        </w:trPr>
        <w:tc>
          <w:tcPr>
            <w:tcW w:w="4860" w:type="dxa"/>
            <w:vAlign w:val="bottom"/>
            <w:tcBorders>
              <w:left w:val="single" w:sz="8" w:color="auto"/>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operating activities declined year-on-year and turned into</w:t>
            </w:r>
          </w:p>
        </w:tc>
        <w:tc>
          <w:tcPr>
            <w:tcW w:w="0" w:type="dxa"/>
            <w:vAlign w:val="bottom"/>
          </w:tcPr>
          <w:p>
            <w:pPr>
              <w:spacing w:after="0"/>
              <w:rPr>
                <w:sz w:val="1"/>
                <w:szCs w:val="1"/>
                <w:color w:val="auto"/>
              </w:rPr>
            </w:pPr>
          </w:p>
        </w:tc>
      </w:tr>
      <w:tr>
        <w:trPr>
          <w:trHeight w:val="216"/>
        </w:trPr>
        <w:tc>
          <w:tcPr>
            <w:tcW w:w="48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net outflow from the beginning of the year to the end of</w:t>
            </w:r>
          </w:p>
        </w:tc>
        <w:tc>
          <w:tcPr>
            <w:tcW w:w="0" w:type="dxa"/>
            <w:vAlign w:val="bottom"/>
          </w:tcPr>
          <w:p>
            <w:pPr>
              <w:spacing w:after="0"/>
              <w:rPr>
                <w:sz w:val="1"/>
                <w:szCs w:val="1"/>
                <w:color w:val="auto"/>
              </w:rPr>
            </w:pPr>
          </w:p>
        </w:tc>
      </w:tr>
      <w:tr>
        <w:trPr>
          <w:trHeight w:val="234"/>
        </w:trPr>
        <w:tc>
          <w:tcPr>
            <w:tcW w:w="486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current reporting period.</w:t>
            </w:r>
          </w:p>
        </w:tc>
        <w:tc>
          <w:tcPr>
            <w:tcW w:w="0" w:type="dxa"/>
            <w:vAlign w:val="bottom"/>
          </w:tcPr>
          <w:p>
            <w:pPr>
              <w:spacing w:after="0"/>
              <w:rPr>
                <w:sz w:val="1"/>
                <w:szCs w:val="1"/>
                <w:color w:val="auto"/>
              </w:rPr>
            </w:pPr>
          </w:p>
        </w:tc>
      </w:tr>
      <w:tr>
        <w:trPr>
          <w:trHeight w:val="210"/>
        </w:trPr>
        <w:tc>
          <w:tcPr>
            <w:tcW w:w="4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Basic earnings per share (RMB/share)_ current reporting period</w:t>
            </w:r>
          </w:p>
        </w:tc>
        <w:tc>
          <w:tcPr>
            <w:tcW w:w="2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-257.14</w:t>
            </w:r>
          </w:p>
        </w:tc>
        <w:tc>
          <w:tcPr>
            <w:tcW w:w="4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Basic earnings per share (RMB/share)_ from beginning of the</w:t>
            </w:r>
          </w:p>
        </w:tc>
        <w:tc>
          <w:tcPr>
            <w:tcW w:w="20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-111.11</w:t>
            </w:r>
          </w:p>
        </w:tc>
        <w:tc>
          <w:tcPr>
            <w:tcW w:w="4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Mainly due to a decrease in net profit attributable to the</w:t>
            </w:r>
          </w:p>
        </w:tc>
        <w:tc>
          <w:tcPr>
            <w:tcW w:w="0" w:type="dxa"/>
            <w:vAlign w:val="bottom"/>
          </w:tcPr>
          <w:p>
            <w:pPr>
              <w:spacing w:after="0"/>
              <w:rPr>
                <w:sz w:val="1"/>
                <w:szCs w:val="1"/>
                <w:color w:val="auto"/>
              </w:rPr>
            </w:pPr>
          </w:p>
        </w:tc>
      </w:tr>
      <w:tr>
        <w:trPr>
          <w:trHeight w:val="108"/>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year to the end of current reporting period</w:t>
            </w:r>
          </w:p>
        </w:tc>
        <w:tc>
          <w:tcPr>
            <w:tcW w:w="2020" w:type="dxa"/>
            <w:vAlign w:val="bottom"/>
            <w:tcBorders>
              <w:right w:val="single" w:sz="8" w:color="auto"/>
            </w:tcBorders>
            <w:vMerge w:val="continue"/>
          </w:tcPr>
          <w:p>
            <w:pPr>
              <w:spacing w:after="0"/>
              <w:rPr>
                <w:sz w:val="9"/>
                <w:szCs w:val="9"/>
                <w:color w:val="auto"/>
              </w:rPr>
            </w:pPr>
          </w:p>
        </w:tc>
        <w:tc>
          <w:tcPr>
            <w:tcW w:w="4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8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020" w:type="dxa"/>
            <w:vAlign w:val="bottom"/>
            <w:tcBorders>
              <w:bottom w:val="single" w:sz="8" w:color="auto"/>
              <w:right w:val="single" w:sz="8" w:color="auto"/>
            </w:tcBorders>
          </w:tcPr>
          <w:p>
            <w:pPr>
              <w:spacing w:after="0"/>
              <w:rPr>
                <w:sz w:val="10"/>
                <w:szCs w:val="10"/>
                <w:color w:val="auto"/>
              </w:rPr>
            </w:pPr>
          </w:p>
        </w:tc>
        <w:tc>
          <w:tcPr>
            <w:tcW w:w="4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shareholders of the Company, resulting in a decrease in</w:t>
            </w:r>
          </w:p>
        </w:tc>
        <w:tc>
          <w:tcPr>
            <w:tcW w:w="0" w:type="dxa"/>
            <w:vAlign w:val="bottom"/>
          </w:tcPr>
          <w:p>
            <w:pPr>
              <w:spacing w:after="0"/>
              <w:rPr>
                <w:sz w:val="1"/>
                <w:szCs w:val="1"/>
                <w:color w:val="auto"/>
              </w:rPr>
            </w:pPr>
          </w:p>
        </w:tc>
      </w:tr>
      <w:tr>
        <w:trPr>
          <w:trHeight w:val="70"/>
        </w:trPr>
        <w:tc>
          <w:tcPr>
            <w:tcW w:w="4860" w:type="dxa"/>
            <w:vAlign w:val="bottom"/>
            <w:tcBorders>
              <w:left w:val="single" w:sz="8" w:color="auto"/>
              <w:right w:val="single" w:sz="8" w:color="auto"/>
            </w:tcBorders>
            <w:vMerge w:val="restart"/>
          </w:tcPr>
          <w:p>
            <w:pPr>
              <w:ind w:left="120"/>
              <w:spacing w:after="0" w:line="191" w:lineRule="exact"/>
              <w:rPr>
                <w:sz w:val="20"/>
                <w:szCs w:val="20"/>
                <w:color w:val="auto"/>
              </w:rPr>
            </w:pPr>
            <w:r>
              <w:rPr>
                <w:rFonts w:ascii="Times New Roman" w:cs="Times New Roman" w:eastAsia="Times New Roman" w:hAnsi="Times New Roman"/>
                <w:sz w:val="18"/>
                <w:szCs w:val="18"/>
                <w:color w:val="auto"/>
              </w:rPr>
              <w:t>Diluted earnings per share (RMB/share)_ current reporting</w:t>
            </w:r>
          </w:p>
        </w:tc>
        <w:tc>
          <w:tcPr>
            <w:tcW w:w="2020" w:type="dxa"/>
            <w:vAlign w:val="bottom"/>
            <w:tcBorders>
              <w:right w:val="single" w:sz="8" w:color="auto"/>
            </w:tcBorders>
          </w:tcPr>
          <w:p>
            <w:pPr>
              <w:spacing w:after="0"/>
              <w:rPr>
                <w:sz w:val="6"/>
                <w:szCs w:val="6"/>
                <w:color w:val="auto"/>
              </w:rPr>
            </w:pPr>
          </w:p>
        </w:tc>
        <w:tc>
          <w:tcPr>
            <w:tcW w:w="43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4860" w:type="dxa"/>
            <w:vAlign w:val="bottom"/>
            <w:tcBorders>
              <w:left w:val="single" w:sz="8" w:color="auto"/>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-257.14</w:t>
            </w:r>
          </w:p>
        </w:tc>
        <w:tc>
          <w:tcPr>
            <w:tcW w:w="4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earnings per share compared with the same period last</w:t>
            </w:r>
          </w:p>
        </w:tc>
        <w:tc>
          <w:tcPr>
            <w:tcW w:w="0" w:type="dxa"/>
            <w:vAlign w:val="bottom"/>
          </w:tcPr>
          <w:p>
            <w:pPr>
              <w:spacing w:after="0"/>
              <w:rPr>
                <w:sz w:val="1"/>
                <w:szCs w:val="1"/>
                <w:color w:val="auto"/>
              </w:rPr>
            </w:pPr>
          </w:p>
        </w:tc>
      </w:tr>
      <w:tr>
        <w:trPr>
          <w:trHeight w:val="95"/>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period</w:t>
            </w:r>
          </w:p>
        </w:tc>
        <w:tc>
          <w:tcPr>
            <w:tcW w:w="2020" w:type="dxa"/>
            <w:vAlign w:val="bottom"/>
            <w:tcBorders>
              <w:right w:val="single" w:sz="8" w:color="auto"/>
            </w:tcBorders>
            <w:vMerge w:val="continue"/>
          </w:tcPr>
          <w:p>
            <w:pPr>
              <w:spacing w:after="0"/>
              <w:rPr>
                <w:sz w:val="8"/>
                <w:szCs w:val="8"/>
                <w:color w:val="auto"/>
              </w:rPr>
            </w:pPr>
          </w:p>
        </w:tc>
        <w:tc>
          <w:tcPr>
            <w:tcW w:w="4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86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4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year.</w:t>
            </w:r>
          </w:p>
        </w:tc>
        <w:tc>
          <w:tcPr>
            <w:tcW w:w="0" w:type="dxa"/>
            <w:vAlign w:val="bottom"/>
          </w:tcPr>
          <w:p>
            <w:pPr>
              <w:spacing w:after="0"/>
              <w:rPr>
                <w:sz w:val="1"/>
                <w:szCs w:val="1"/>
                <w:color w:val="auto"/>
              </w:rPr>
            </w:pPr>
          </w:p>
        </w:tc>
      </w:tr>
      <w:tr>
        <w:trPr>
          <w:trHeight w:val="75"/>
        </w:trPr>
        <w:tc>
          <w:tcPr>
            <w:tcW w:w="4860" w:type="dxa"/>
            <w:vAlign w:val="bottom"/>
            <w:tcBorders>
              <w:left w:val="single" w:sz="8" w:color="auto"/>
              <w:right w:val="single" w:sz="8" w:color="auto"/>
            </w:tcBorders>
            <w:vMerge w:val="restart"/>
          </w:tcPr>
          <w:p>
            <w:pPr>
              <w:ind w:left="120"/>
              <w:spacing w:after="0" w:line="191" w:lineRule="exact"/>
              <w:rPr>
                <w:sz w:val="20"/>
                <w:szCs w:val="20"/>
                <w:color w:val="auto"/>
              </w:rPr>
            </w:pPr>
            <w:r>
              <w:rPr>
                <w:rFonts w:ascii="Times New Roman" w:cs="Times New Roman" w:eastAsia="Times New Roman" w:hAnsi="Times New Roman"/>
                <w:sz w:val="18"/>
                <w:szCs w:val="18"/>
                <w:color w:val="auto"/>
              </w:rPr>
              <w:t>Diluted earnings per share (RMB/share)_ from beginning of the</w:t>
            </w:r>
          </w:p>
        </w:tc>
        <w:tc>
          <w:tcPr>
            <w:tcW w:w="20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-111.11</w:t>
            </w:r>
          </w:p>
        </w:tc>
        <w:tc>
          <w:tcPr>
            <w:tcW w:w="43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860" w:type="dxa"/>
            <w:vAlign w:val="bottom"/>
            <w:tcBorders>
              <w:left w:val="single" w:sz="8" w:color="auto"/>
              <w:right w:val="single" w:sz="8" w:color="auto"/>
            </w:tcBorders>
            <w:vMerge w:val="continue"/>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4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year to the end of current reporting period</w:t>
            </w:r>
          </w:p>
        </w:tc>
        <w:tc>
          <w:tcPr>
            <w:tcW w:w="2020" w:type="dxa"/>
            <w:vAlign w:val="bottom"/>
            <w:tcBorders>
              <w:right w:val="single" w:sz="8" w:color="auto"/>
            </w:tcBorders>
            <w:vMerge w:val="continue"/>
          </w:tcPr>
          <w:p>
            <w:pPr>
              <w:spacing w:after="0"/>
              <w:rPr>
                <w:sz w:val="10"/>
                <w:szCs w:val="10"/>
                <w:color w:val="auto"/>
              </w:rPr>
            </w:pPr>
          </w:p>
        </w:tc>
        <w:tc>
          <w:tcPr>
            <w:tcW w:w="4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49"/>
        </w:trPr>
        <w:tc>
          <w:tcPr>
            <w:tcW w:w="48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4/10</w:t>
            </w:r>
          </w:p>
        </w:tc>
        <w:tc>
          <w:tcPr>
            <w:tcW w:w="4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CSI Solar Co., Ltd. 2026 Third Quarter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Shareholder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(Omitted)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Reminders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important information about the Company’s operations during the Reporting Period that should be brought to the attention of investors</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 Applicable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had repurchased an aggregate of 37,791,085 shares through the trading system of the Shanghai Stock Exchange by way of centralized bidding, representing 1.04% of the Company’s total share capital. The highest transaction price was RMB 11.35 per share and the lowest was RMB 8.16 per share, with total funds used for the repurchase amounting to RMB 365,291,813.71 (excluding stamp duty, transaction commissions, and other transaction costs).</w:t>
      </w:r>
    </w:p>
    <w:p>
      <w:pPr>
        <w:spacing w:after="0" w:line="176"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Statements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Type of audit opinion</w:t>
      </w:r>
    </w:p>
    <w:p>
      <w:pPr>
        <w:spacing w:after="0" w:line="229" w:lineRule="exact"/>
        <w:rPr>
          <w:sz w:val="20"/>
          <w:szCs w:val="20"/>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Applicable √ 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CSI Solar Co., Ltd. 2026 Third Quarter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Financial Statements</w:t>
            </w:r>
          </w:p>
        </w:tc>
        <w:tc>
          <w:tcPr>
            <w:tcW w:w="2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980" w:type="dxa"/>
            <w:vAlign w:val="bottom"/>
          </w:tcPr>
          <w:p>
            <w:pPr>
              <w:ind w:left="45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2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September 30, 2026</w:t>
            </w:r>
          </w:p>
        </w:tc>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Prepared by: CSI Solar Co., Ltd.</w:t>
            </w:r>
          </w:p>
        </w:tc>
        <w:tc>
          <w:tcPr>
            <w:tcW w:w="4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Unit: Yuan Currency: RMB Audit Type: Unaudited</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4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698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8"/>
                <w:szCs w:val="18"/>
                <w:color w:val="auto"/>
              </w:rPr>
              <w:t>Item</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As of September 30, 2026</w:t>
            </w:r>
          </w:p>
        </w:tc>
        <w:tc>
          <w:tcPr>
            <w:tcW w:w="2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 2025</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Monetary funds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7,963,687,067.66</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11,469,051,585.43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assets held for trading</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1,108,093,470.21</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1,789,927,582.31</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financial assets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40,599,840.21</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105,443,355.82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receivable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314,566,286.48</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348,852,927.63</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7,401,458,180.16</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7,669,723,520.20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financing</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151,246,635.18</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139,007,197.19</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1,347,919,463.40</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1,128,193,493.48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2,581,669,854.13</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3,276,546,062.69</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5,135,274,583.36</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5,690,726,889.03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2,309,229,247.17</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2,277,880,002.17</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1,906,796,110.77</w:t>
            </w: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 due within one year</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486,085,782.07</w:t>
            </w:r>
          </w:p>
        </w:tc>
        <w:tc>
          <w:tcPr>
            <w:tcW w:w="2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1,710,764,172.80</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1,759,763,309.34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30,550,594,582.83</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37,561,912,036.06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receivables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3,009,861,667.82</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equity investments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651,405,403.30</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520,228,862.29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equity investments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77,233,496.70</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80,361,605.85</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financial assets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1,816,799,183.76</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762,364,705.76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14,190,922,842.24</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13,443,445,172.88</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2,847,832,015.88</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6,670,196,711.62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535,168,649.36</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675,928,356.70</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771,193,250.97</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788,676,212.17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prepaid expenses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295,189,946.28</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372,277,210.91</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2,733,924,200.57</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2,807,076,201.82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770,768,186.93</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695,622,522.37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27,700,298,843.81</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26,816,177,562.37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58,250,893,426.64</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64,378,089,598.43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loan</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7,030,036,711.16</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6,399,613,611.63</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financial liabilities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86,748,468.84</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42,400,244.47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4,171,897,650.99</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6,603,903,276.77</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4,493,327,696.11</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4,362,986,835.28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2,283,412,903.48</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3,184,137,745.18</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benefits payables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208,362,227.97</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364,039,453.73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537,329,416.70</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671,259,372.83</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4,609,039,979.80</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4,765,965,640.55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 due within one year</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4,646,889,697.51</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3,612,269,444.00</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43,970,568.25</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53,431,422.25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28,111,015,320.81</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30,060,007,046.69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loan</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4,984,022,431.13</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7,189,267,824.05</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594,765,508.25</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724,902,824.05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payables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16,640,623.95</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2,679,273.13</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liabilities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797,238,846.83</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1,030,179,958.05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958,251,537.88</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1,056,640,165.77</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121,883,604.80</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82,134,270.62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704,377,258.99</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831,954,854.32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8,177,179,811.83</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10,917,759,169.99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36,288,195,132.64</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40,977,766,216.68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Owner’s equity (or shareholders’ equity):</w:t>
            </w:r>
          </w:p>
        </w:tc>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Paid-in capital (or equity)</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3,643,140,112.00</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3,643,140,112.00</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reserve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7,475,047,786.10</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7,452,746,094.01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Treasury stock</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798,898,331.65</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477,840,770.93</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-780,700,034.68</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-45,091,322.54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Surplus reserve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273,273,191.10</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273,273,191.10</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Undistributed profits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12,097,857,822.11</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12,548,147,982.89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attributable to the Company (or shareholders’ equity)</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21,909,720,544.98</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23,394,375,286.53</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Minority interests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52,977,749.02</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5,948,095.22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owners’ equity (or shareholders’ equity)</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21,962,698,294.00</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23,400,323,381.75</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owners’ equity (or shareholders’ equity)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58,250,893,426.64</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64,378,089,598.43</w:t>
            </w: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7"/>
          <w:szCs w:val="17"/>
          <w:color w:val="auto"/>
        </w:rPr>
        <w:t>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CSI Solar Co., Ltd. 2026 Third Quarter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Person in charge of the Company: Qu Xiaohua</w:t>
            </w: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Person in charge of accounting function: Pan Naihong</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Person in charge of accounting institution: Kuai Guofeng</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920" w:type="dxa"/>
            <w:vAlign w:val="bottom"/>
          </w:tcPr>
          <w:p>
            <w:pPr>
              <w:jc w:val="center"/>
              <w:ind w:left="4230"/>
              <w:spacing w:after="0"/>
              <w:rPr>
                <w:sz w:val="20"/>
                <w:szCs w:val="20"/>
                <w:color w:val="auto"/>
              </w:rPr>
            </w:pPr>
            <w:r>
              <w:rPr>
                <w:rFonts w:ascii="Times New Roman" w:cs="Times New Roman" w:eastAsia="Times New Roman" w:hAnsi="Times New Roman"/>
                <w:sz w:val="18"/>
                <w:szCs w:val="18"/>
                <w:b w:val="1"/>
                <w:bCs w:val="1"/>
                <w:color w:val="auto"/>
                <w:w w:val="99"/>
              </w:rPr>
              <w:t>Consolidated Income Statement</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20" w:type="dxa"/>
            <w:vAlign w:val="bottom"/>
          </w:tcPr>
          <w:p>
            <w:pPr>
              <w:jc w:val="center"/>
              <w:ind w:left="4250"/>
              <w:spacing w:after="0"/>
              <w:rPr>
                <w:sz w:val="20"/>
                <w:szCs w:val="20"/>
                <w:color w:val="auto"/>
              </w:rPr>
            </w:pPr>
            <w:r>
              <w:rPr>
                <w:rFonts w:ascii="Times New Roman" w:cs="Times New Roman" w:eastAsia="Times New Roman" w:hAnsi="Times New Roman"/>
                <w:sz w:val="18"/>
                <w:szCs w:val="18"/>
                <w:color w:val="auto"/>
                <w:w w:val="99"/>
              </w:rPr>
              <w:t>January–September 2026</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Prepared by: CSI Solar Co., Ltd.</w:t>
            </w: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920" w:type="dxa"/>
            <w:vAlign w:val="bottom"/>
          </w:tcPr>
          <w:p>
            <w:pPr>
              <w:spacing w:after="0"/>
              <w:rPr>
                <w:sz w:val="24"/>
                <w:szCs w:val="24"/>
                <w:color w:val="auto"/>
              </w:rPr>
            </w:pPr>
          </w:p>
        </w:tc>
        <w:tc>
          <w:tcPr>
            <w:tcW w:w="3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Unit: Yuan Currency: RMB Audit Type: Unaudited</w:t>
            </w:r>
          </w:p>
        </w:tc>
        <w:tc>
          <w:tcPr>
            <w:tcW w:w="5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6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First three quarters of 2026</w:t>
            </w:r>
          </w:p>
        </w:tc>
        <w:tc>
          <w:tcPr>
            <w:tcW w:w="2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First three quarters of 2025</w:t>
            </w:r>
          </w:p>
        </w:tc>
        <w:tc>
          <w:tcPr>
            <w:tcW w:w="0" w:type="dxa"/>
            <w:vAlign w:val="bottom"/>
          </w:tcPr>
          <w:p>
            <w:pPr>
              <w:spacing w:after="0"/>
              <w:rPr>
                <w:sz w:val="1"/>
                <w:szCs w:val="1"/>
                <w:color w:val="auto"/>
              </w:rPr>
            </w:pPr>
          </w:p>
        </w:tc>
      </w:tr>
      <w:tr>
        <w:trPr>
          <w:trHeight w:val="234"/>
        </w:trPr>
        <w:tc>
          <w:tcPr>
            <w:tcW w:w="692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Item</w:t>
            </w:r>
          </w:p>
        </w:tc>
        <w:tc>
          <w:tcPr>
            <w:tcW w:w="100" w:type="dxa"/>
            <w:vAlign w:val="bottom"/>
          </w:tcPr>
          <w:p>
            <w:pPr>
              <w:spacing w:after="0"/>
              <w:rPr>
                <w:sz w:val="20"/>
                <w:szCs w:val="20"/>
                <w:color w:val="auto"/>
              </w:rPr>
            </w:pPr>
          </w:p>
        </w:tc>
        <w:tc>
          <w:tcPr>
            <w:tcW w:w="2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(January–September)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(January–September)</w:t>
            </w:r>
          </w:p>
        </w:tc>
        <w:tc>
          <w:tcPr>
            <w:tcW w:w="0" w:type="dxa"/>
            <w:vAlign w:val="bottom"/>
          </w:tcPr>
          <w:p>
            <w:pPr>
              <w:spacing w:after="0"/>
              <w:rPr>
                <w:sz w:val="1"/>
                <w:szCs w:val="1"/>
                <w:color w:val="auto"/>
              </w:rPr>
            </w:pPr>
          </w:p>
        </w:tc>
      </w:tr>
      <w:tr>
        <w:trPr>
          <w:trHeight w:val="209"/>
        </w:trPr>
        <w:tc>
          <w:tcPr>
            <w:tcW w:w="6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 Total operating revenue</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18,647,208,646.72</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31,270,481,519.57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Including: Operating revenue</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18,647,208,646.72</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31,270,481,519.57</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Total operating costs</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19,110,119,773.87</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30,804,940,364.02</w:t>
            </w: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Including: Operating costs</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16,328,103,290.77</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27,901,500,869.02</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Taxes and surcharges</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119,041,410.97</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115,847,604.50</w:t>
            </w:r>
          </w:p>
        </w:tc>
        <w:tc>
          <w:tcPr>
            <w:tcW w:w="0" w:type="dxa"/>
            <w:vAlign w:val="bottom"/>
          </w:tcPr>
          <w:p>
            <w:pPr>
              <w:spacing w:after="0"/>
              <w:rPr>
                <w:sz w:val="1"/>
                <w:szCs w:val="1"/>
                <w:color w:val="auto"/>
              </w:rPr>
            </w:pPr>
          </w:p>
        </w:tc>
      </w:tr>
      <w:tr>
        <w:trPr>
          <w:trHeight w:val="216"/>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Selling expenses</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502,929,388.84</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819,594,066.16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948,715,577.38</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1,372,497,877.69</w:t>
            </w:r>
          </w:p>
        </w:tc>
        <w:tc>
          <w:tcPr>
            <w:tcW w:w="0" w:type="dxa"/>
            <w:vAlign w:val="bottom"/>
          </w:tcPr>
          <w:p>
            <w:pPr>
              <w:spacing w:after="0"/>
              <w:rPr>
                <w:sz w:val="1"/>
                <w:szCs w:val="1"/>
                <w:color w:val="auto"/>
              </w:rPr>
            </w:pPr>
          </w:p>
        </w:tc>
      </w:tr>
      <w:tr>
        <w:trPr>
          <w:trHeight w:val="216"/>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R&amp;D expenses</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415,019,660.51</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497,539,309.09</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Financial expenses</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796,310,445.40</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97,960,637.56</w:t>
            </w:r>
          </w:p>
        </w:tc>
        <w:tc>
          <w:tcPr>
            <w:tcW w:w="0" w:type="dxa"/>
            <w:vAlign w:val="bottom"/>
          </w:tcPr>
          <w:p>
            <w:pPr>
              <w:spacing w:after="0"/>
              <w:rPr>
                <w:sz w:val="1"/>
                <w:szCs w:val="1"/>
                <w:color w:val="auto"/>
              </w:rPr>
            </w:pPr>
          </w:p>
        </w:tc>
      </w:tr>
      <w:tr>
        <w:trPr>
          <w:trHeight w:val="216"/>
        </w:trPr>
        <w:tc>
          <w:tcPr>
            <w:tcW w:w="6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Including: Interest expense</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347,584,342.45</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437,589,452.21</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Interest income</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119,333,021.26</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197,359,408.14</w:t>
            </w:r>
          </w:p>
        </w:tc>
        <w:tc>
          <w:tcPr>
            <w:tcW w:w="0" w:type="dxa"/>
            <w:vAlign w:val="bottom"/>
          </w:tcPr>
          <w:p>
            <w:pPr>
              <w:spacing w:after="0"/>
              <w:rPr>
                <w:sz w:val="1"/>
                <w:szCs w:val="1"/>
                <w:color w:val="auto"/>
              </w:rPr>
            </w:pPr>
          </w:p>
        </w:tc>
      </w:tr>
      <w:tr>
        <w:trPr>
          <w:trHeight w:val="216"/>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 Other income</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247,267,959.52</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1,675,154,410.29</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Investment income (losses indicated by “-”)</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277,990,561.79</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-146,417,767.81</w:t>
            </w:r>
          </w:p>
        </w:tc>
        <w:tc>
          <w:tcPr>
            <w:tcW w:w="0" w:type="dxa"/>
            <w:vAlign w:val="bottom"/>
          </w:tcPr>
          <w:p>
            <w:pPr>
              <w:spacing w:after="0"/>
              <w:rPr>
                <w:sz w:val="1"/>
                <w:szCs w:val="1"/>
                <w:color w:val="auto"/>
              </w:rPr>
            </w:pPr>
          </w:p>
        </w:tc>
      </w:tr>
      <w:tr>
        <w:trPr>
          <w:trHeight w:val="216"/>
        </w:trPr>
        <w:tc>
          <w:tcPr>
            <w:tcW w:w="6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Including: Gains from investment in associates and joint ventures</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38,298,543.57</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23,481,797.97</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Gains from changes in fair value (losses indicated by “-”)</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253,318,674.48</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19,481,157.93</w:t>
            </w:r>
          </w:p>
        </w:tc>
        <w:tc>
          <w:tcPr>
            <w:tcW w:w="0" w:type="dxa"/>
            <w:vAlign w:val="bottom"/>
          </w:tcPr>
          <w:p>
            <w:pPr>
              <w:spacing w:after="0"/>
              <w:rPr>
                <w:sz w:val="1"/>
                <w:szCs w:val="1"/>
                <w:color w:val="auto"/>
              </w:rPr>
            </w:pPr>
          </w:p>
        </w:tc>
      </w:tr>
      <w:tr>
        <w:trPr>
          <w:trHeight w:val="216"/>
        </w:trPr>
        <w:tc>
          <w:tcPr>
            <w:tcW w:w="6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Credit impairment losses (losses indicated by “-”)</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-102,188,486.48</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-147,203,262.63</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Impairment loss on assets (losses indicated by “-”)</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-383,750,518.30</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-766,804,147.20</w:t>
            </w:r>
          </w:p>
        </w:tc>
        <w:tc>
          <w:tcPr>
            <w:tcW w:w="0" w:type="dxa"/>
            <w:vAlign w:val="bottom"/>
          </w:tcPr>
          <w:p>
            <w:pPr>
              <w:spacing w:after="0"/>
              <w:rPr>
                <w:sz w:val="1"/>
                <w:szCs w:val="1"/>
                <w:color w:val="auto"/>
              </w:rPr>
            </w:pPr>
          </w:p>
        </w:tc>
      </w:tr>
      <w:tr>
        <w:trPr>
          <w:trHeight w:val="216"/>
        </w:trPr>
        <w:tc>
          <w:tcPr>
            <w:tcW w:w="6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Gain on disposal of assets (losses indicated by “-”)</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306,768,093.84</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-35,272,341.28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Operating profit (losses indicated by “-”)</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136,495,157.70</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1,064,479,204.85</w:t>
            </w:r>
          </w:p>
        </w:tc>
        <w:tc>
          <w:tcPr>
            <w:tcW w:w="0" w:type="dxa"/>
            <w:vAlign w:val="bottom"/>
          </w:tcPr>
          <w:p>
            <w:pPr>
              <w:spacing w:after="0"/>
              <w:rPr>
                <w:sz w:val="1"/>
                <w:szCs w:val="1"/>
                <w:color w:val="auto"/>
              </w:rPr>
            </w:pPr>
          </w:p>
        </w:tc>
      </w:tr>
      <w:tr>
        <w:trPr>
          <w:trHeight w:val="216"/>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 Non-operating income</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52,782,549.26</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39,716,400.38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Non-operating expenses</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22,225,650.56</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97,424,335.30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4. Total profit (total losses indicated by “-”)</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167,052,056.40</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1,006,771,269.93</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Income tax expense</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252,950,013.09</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-4,287,290.96</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5. Net profit (net loss indicated by “-”)</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-85,897,956.69</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1,011,058,560.89</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 Classified by continuity of operations</w:t>
            </w: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 Net profit from continuing operations (net loss indicated by “-”)</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-85,897,956.69</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1,011,058,560.89</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 Classified by ownership</w:t>
            </w: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 Net profit attributable to the shareholders of the Company (net loss indicated by “-”)</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-95,260,650.29</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988,933,550.08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 Profit and loss attributable to minority shareholders (net loss indicated by “-”)</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9,362,693.60</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22,125,010.81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6. Other comprehensive income, net of tax</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-735,608,712.14</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184,121,744.83</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 Other comprehensive income attributable to owners of the Company, net of tax</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-735,608,712.14</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184,121,744.83</w:t>
            </w:r>
          </w:p>
        </w:tc>
        <w:tc>
          <w:tcPr>
            <w:tcW w:w="0" w:type="dxa"/>
            <w:vAlign w:val="bottom"/>
          </w:tcPr>
          <w:p>
            <w:pPr>
              <w:spacing w:after="0"/>
              <w:rPr>
                <w:sz w:val="1"/>
                <w:szCs w:val="1"/>
                <w:color w:val="auto"/>
              </w:rPr>
            </w:pPr>
          </w:p>
        </w:tc>
      </w:tr>
      <w:tr>
        <w:trPr>
          <w:trHeight w:val="216"/>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 Other comprehensive income that cannot be reclassified into profit or loss</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-190,936.95</w:t>
            </w:r>
          </w:p>
        </w:tc>
        <w:tc>
          <w:tcPr>
            <w:tcW w:w="0" w:type="dxa"/>
            <w:vAlign w:val="bottom"/>
          </w:tcPr>
          <w:p>
            <w:pPr>
              <w:spacing w:after="0"/>
              <w:rPr>
                <w:sz w:val="1"/>
                <w:szCs w:val="1"/>
                <w:color w:val="auto"/>
              </w:rPr>
            </w:pPr>
          </w:p>
        </w:tc>
      </w:tr>
      <w:tr>
        <w:trPr>
          <w:trHeight w:val="243"/>
        </w:trPr>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 Changes in fair value of other equity instrument investments</w:t>
            </w:r>
          </w:p>
        </w:tc>
        <w:tc>
          <w:tcPr>
            <w:tcW w:w="2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-190,936.95</w:t>
            </w:r>
          </w:p>
        </w:tc>
        <w:tc>
          <w:tcPr>
            <w:tcW w:w="0" w:type="dxa"/>
            <w:vAlign w:val="bottom"/>
          </w:tcPr>
          <w:p>
            <w:pPr>
              <w:spacing w:after="0"/>
              <w:rPr>
                <w:sz w:val="1"/>
                <w:szCs w:val="1"/>
                <w:color w:val="auto"/>
              </w:rPr>
            </w:pPr>
          </w:p>
        </w:tc>
      </w:tr>
      <w:tr>
        <w:trPr>
          <w:trHeight w:val="216"/>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 Other comprehensive income to be reclassified into profit and loss</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-735,608,712.14</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184,312,681.78</w:t>
            </w:r>
          </w:p>
        </w:tc>
        <w:tc>
          <w:tcPr>
            <w:tcW w:w="0" w:type="dxa"/>
            <w:vAlign w:val="bottom"/>
          </w:tcPr>
          <w:p>
            <w:pPr>
              <w:spacing w:after="0"/>
              <w:rPr>
                <w:sz w:val="1"/>
                <w:szCs w:val="1"/>
                <w:color w:val="auto"/>
              </w:rPr>
            </w:pPr>
          </w:p>
        </w:tc>
      </w:tr>
      <w:tr>
        <w:trPr>
          <w:trHeight w:val="198"/>
        </w:trPr>
        <w:tc>
          <w:tcPr>
            <w:tcW w:w="69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w w:val="99"/>
              </w:rPr>
              <w:t>(1) Other comprehensive income that can be reclassified into profit or loss under the equity</w:t>
            </w:r>
          </w:p>
        </w:tc>
        <w:tc>
          <w:tcPr>
            <w:tcW w:w="1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method</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-9,660,058.35</w:t>
            </w:r>
          </w:p>
        </w:tc>
        <w:tc>
          <w:tcPr>
            <w:tcW w:w="2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 Cash Flow Hedge Reserve</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-73,089,100.33</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 Exchange difference arising from translation of foreign currency financial statements</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-652,859,553.46</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184,312,681.78</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7. Total comprehensive income</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-821,506,668.83</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1,195,180,305.72</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 Total comprehensive income attributable to owners of the Company</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-830,869,362.43</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1,173,055,294.91</w:t>
            </w:r>
          </w:p>
        </w:tc>
        <w:tc>
          <w:tcPr>
            <w:tcW w:w="0" w:type="dxa"/>
            <w:vAlign w:val="bottom"/>
          </w:tcPr>
          <w:p>
            <w:pPr>
              <w:spacing w:after="0"/>
              <w:rPr>
                <w:sz w:val="1"/>
                <w:szCs w:val="1"/>
                <w:color w:val="auto"/>
              </w:rPr>
            </w:pPr>
          </w:p>
        </w:tc>
      </w:tr>
      <w:tr>
        <w:trPr>
          <w:trHeight w:val="216"/>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 Total comprehensive income attributable to minority shareholders</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9,362,693.60</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22,125,010.81</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 Earnings per share:</w:t>
            </w: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 Basic earnings per share (RMB/share)</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 Diluted earnings per share (RMB/share)</w:t>
            </w:r>
          </w:p>
        </w:tc>
        <w:tc>
          <w:tcPr>
            <w:tcW w:w="2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655"/>
        </w:trPr>
        <w:tc>
          <w:tcPr>
            <w:tcW w:w="6920" w:type="dxa"/>
            <w:vAlign w:val="bottom"/>
            <w:tcBorders>
              <w:bottom w:val="single" w:sz="8" w:color="auto"/>
            </w:tcBorders>
          </w:tcPr>
          <w:p>
            <w:pPr>
              <w:jc w:val="center"/>
              <w:ind w:left="4230"/>
              <w:spacing w:after="0"/>
              <w:rPr>
                <w:sz w:val="20"/>
                <w:szCs w:val="20"/>
                <w:color w:val="auto"/>
              </w:rPr>
            </w:pPr>
            <w:r>
              <w:rPr>
                <w:rFonts w:ascii="Times New Roman" w:cs="Times New Roman" w:eastAsia="Times New Roman" w:hAnsi="Times New Roman"/>
                <w:sz w:val="18"/>
                <w:szCs w:val="18"/>
                <w:color w:val="auto"/>
                <w:w w:val="99"/>
              </w:rPr>
              <w:t>7/10</w:t>
            </w: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CSI Solar Co., Ltd. 2026 Third Quarter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the current reporting period, for enterprises under the same control, the net profit achieved by the merged entity before the merger was nil, and the net profit achieved by the merged entity in the previous period was nil.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in charge of the Company: Qu Xiaohua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in charge of accounting function: Pan Naihong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in charge of accounting institution: Kuai Guofeng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Cash Flow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January–September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Prepared by: CSI Solar Co., Ltd.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Unit: Yuan Currency: RMB Audit Type: Unaudited</w:t>
            </w:r>
          </w:p>
        </w:tc>
      </w:tr>
      <w:tr>
        <w:trPr>
          <w:trHeight w:val="395"/>
        </w:trPr>
        <w:tc>
          <w:tcPr>
            <w:tcW w:w="69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First three quarters of 2026</w:t>
            </w: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First three quarters of 2025</w:t>
            </w:r>
          </w:p>
        </w:tc>
      </w:tr>
      <w:tr>
        <w:trPr>
          <w:trHeight w:val="234"/>
        </w:trPr>
        <w:tc>
          <w:tcPr>
            <w:tcW w:w="690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8"/>
                <w:szCs w:val="18"/>
                <w:color w:val="auto"/>
              </w:rPr>
              <w:t>Item</w:t>
            </w:r>
          </w:p>
        </w:tc>
        <w:tc>
          <w:tcPr>
            <w:tcW w:w="2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(January–September)</w:t>
            </w:r>
          </w:p>
        </w:tc>
        <w:tc>
          <w:tcPr>
            <w:tcW w:w="2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(January–September)</w:t>
            </w: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 Cash flow from operating activities:</w:t>
            </w:r>
          </w:p>
        </w:tc>
        <w:tc>
          <w:tcPr>
            <w:tcW w:w="21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from sale of goods and provision of services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20,208,253,099.89</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47,171,225,937.65</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refunds received</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11,935.32</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15,675,572.83</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cash received related to operating activities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3,243,523,107.19</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3,692,915,655.79</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of cash inflow from operating activities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23,451,788,142.40</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50,879,817,166.27</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purchase of goods and services rendered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18,580,872,858.18</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36,546,710,836.77</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to and on behalf of employees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1,367,518,315.32</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2,042,597,285.89</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Various taxes paid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436,494,646.85</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1,035,540,470.42</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cash payments related to operating activities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3,186,437,568.85</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5,785,723,598.36</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Subtotal cash outflow from operating activities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23,571,323,389.20</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45,410,572,191.44</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 from operating activities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-119,535,246.80</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5,469,244,974.83</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Cash flows from investing activities:</w:t>
            </w:r>
          </w:p>
        </w:tc>
        <w:tc>
          <w:tcPr>
            <w:tcW w:w="21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disposal of investments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1,150,354,097.06</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1,120,528,775.17</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from return of investments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237,981,359.61</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132,245,903.16</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received from disposal of fixed assets, intangible assets and other long-term assets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590,733,057.62</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4,799,146.63</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received from disposal of subsidiaries and other business units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214,951,966.74</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3,372,018.14</w:t>
            </w:r>
          </w:p>
        </w:tc>
      </w:tr>
      <w:tr>
        <w:trPr>
          <w:trHeight w:val="243"/>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received from other investing activities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1,186,329,672.83</w:t>
            </w:r>
          </w:p>
        </w:tc>
        <w:tc>
          <w:tcPr>
            <w:tcW w:w="2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Subtotal of cash inflows from investing activities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3,380,350,153.86</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1,260,945,843.10</w:t>
            </w:r>
          </w:p>
        </w:tc>
      </w:tr>
      <w:tr>
        <w:trPr>
          <w:trHeight w:val="198"/>
        </w:trPr>
        <w:tc>
          <w:tcPr>
            <w:tcW w:w="69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paid for the acquisition and construction of fixed assets, intangible assets and other</w:t>
            </w:r>
          </w:p>
        </w:tc>
        <w:tc>
          <w:tcPr>
            <w:tcW w:w="21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r>
        <w:trPr>
          <w:trHeight w:val="234"/>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assets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2,246,287,762.88</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5,085,851,891.42</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investments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1,494,357,471.17</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1,672,896,277.33</w:t>
            </w:r>
          </w:p>
        </w:tc>
      </w:tr>
      <w:tr>
        <w:trPr>
          <w:trHeight w:val="243"/>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cash payments related to investing activities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7,414,160.83</w:t>
            </w:r>
          </w:p>
        </w:tc>
        <w:tc>
          <w:tcPr>
            <w:tcW w:w="2160" w:type="dxa"/>
            <w:vAlign w:val="bottom"/>
            <w:shd w:val="clear" w:color="auto" w:fill="CCEEFF"/>
          </w:tcPr>
          <w:p>
            <w:pPr>
              <w:spacing w:after="0"/>
              <w:rPr>
                <w:sz w:val="21"/>
                <w:szCs w:val="2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Subtotal of cash outflows from investing activities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3,748,059,394.88</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6,758,748,168.75</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-367,709,241.02</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-5,497,802,325.65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3. Cash flow from financing activities:</w:t>
            </w:r>
          </w:p>
        </w:tc>
        <w:tc>
          <w:tcPr>
            <w:tcW w:w="21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43"/>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investments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82,917,237.13</w:t>
            </w:r>
          </w:p>
        </w:tc>
        <w:tc>
          <w:tcPr>
            <w:tcW w:w="2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Including: Proceeds from Minority Shareholders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82,917,237.13</w:t>
            </w:r>
          </w:p>
        </w:tc>
        <w:tc>
          <w:tcPr>
            <w:tcW w:w="2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loans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6,252,801,995.90</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8,739,872,926.23</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cash received from financing activities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880,973,889.07</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2,837,862,271.82</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of cash inflows from financing activities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7,216,693,122.10</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11,577,735,198.05</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repayment of loans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6,804,593,659.45</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6,519,603,201.46</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dividends, profits or interest payments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703,540,796.43</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721,377,659.57</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cash paid for financing activities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573,527,217.89</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2,246,688,751.53</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of cash outflows from financing activities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8,081,661,673.77</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9,487,669,612.56</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 from financing activities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-864,968,551.67</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2,090,065,585.49</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 Effect of changes in exchange rate on cash and cash equivalents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-433,790,180.11</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58,064,537.21</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Net increase in cash and cash equivalents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-1,786,003,219.60</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2,119,572,771.88</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Beginning balance of cash and cash equivalents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8,453,344,709.03</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7,806,646,753.41</w:t>
            </w:r>
          </w:p>
        </w:tc>
      </w:t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Ending balance of cash and cash equivalents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6,667,341,489.43</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9,926,219,525.29</w:t>
            </w:r>
          </w:p>
        </w:tc>
      </w:tr>
      <w:tr>
        <w:trPr>
          <w:trHeight w:val="633"/>
        </w:trPr>
        <w:tc>
          <w:tcPr>
            <w:tcW w:w="69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8/10</w:t>
            </w:r>
          </w:p>
        </w:tc>
        <w:tc>
          <w:tcPr>
            <w:tcW w:w="2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Person in charge of the Company: Qu Xiaohua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in charge of accounting function: Pan Naihong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in charge of accounting institution: Kuai Guofeng</w:t>
      </w:r>
    </w:p>
    <w:p>
      <w:pPr>
        <w:spacing w:after="0" w:line="22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Adjustments to the financial statements at the beginning of the year upon initial adoption of new accounting standards or interpretation of standards since 2026</w:t>
      </w:r>
    </w:p>
    <w:p>
      <w:pPr>
        <w:spacing w:after="0" w:line="159" w:lineRule="exact"/>
        <w:rPr>
          <w:sz w:val="20"/>
          <w:szCs w:val="20"/>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Applicable √ Not Applicable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hereby announce the above.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Board of Directors of CSI Solar Co., Ltd.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6006465</wp:posOffset>
            </wp:positionH>
            <wp:positionV relativeFrom="paragraph">
              <wp:posOffset>-10795</wp:posOffset>
            </wp:positionV>
            <wp:extent cx="3340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Safe Harbor/Forward-Looking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are forward-looking statements that involve a number of risks and uncertainties that could cause actual results to differ materially. These statements are made under the “Safe Harbor” provisions of the U.S. Private Securities Litigation Reform Act of 1995. In some cases, you can identify forward-looking statements by such terms as “may”, “will”, “expect”, “anticipate”, “future”, “ongoing”, “continue”, “intend”, “plan”, “potential”, “prospect”, “guidance”, “believe”, “estimate”, “is/are likely to” or similar expressions, the negative of these terms, or other comparable terminology. These forward-looking statements include, among other things, our expectations regarding global electricity demand and the adoption of solar and battery energy storage technologies; our growth strategies, future business performance, and financial condition; our transition to a long-term owner and operator of clean energy assets and expansion of project pipelines; our ability to monetize project portfolios, manage supply chain fluctuations, and respond to economic factors such as inflation and interest rates; our outlook on government incentives, trade measures, regulatory developments, and geopolitical risks; our expectations for project timelines, costs, and returns; competitive dynamics in solar and storage markets; our ability to execute supply chain, manufacturing, and operational initiatives; access to capital, debt obligations, and covenant compliance; relationships with key suppliers and customers; technological advancement and product quality; and risks related to intellectual property, litigation, and compliance with environmental and sustainability regulations. Other risks were described in Canadian Solar’s filings with the Securities and Exchange Commission, including its annual report on Form 20-F filed on April 30, 2025. Although Canadian Solar believes that the expectations reflected in the forward-looking statements are reasonable, it cannot guarantee future results, level of activity, performance, or achievements. Investors should not place undue reliance on these forward-looking statements. All information provided in this press release is as of today’s date, unless otherwise stated, and Canadian Solar undertakes no duty to update such information,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Uncertainty of the Forecast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forecast should be read in conjunction with the assumptions and qualifications set forth herein. The forecast is based on numerous assumptions, many of which are beyond our control, and some or all of which may not materialize.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to the extent that the assumptions inherent in the forecast are based upon future business decisions and objectives, they are subject to change. Although the forecast is presented with numerical specificity and is based on reasonable expectations developed by our management, the assumptions and estimates underlying the forecast are subject to significant business, economic, regulatory and competitive uncertainties and contingencies, many of which are beyond the control of CSI Solar and Canadian Solar. Accordingly, the forecast is only an estimate and is necessarily speculative in nature. It is expected that some or all of the assumptions in the forecast will not be realized and that actual results will vary from the forecast. Such variations may be material and may increase over time. In light of the foregoing, readers are cautioned not to place undue reliance on the forecast. The forecast should not be regarded as a representation or warranty by Canadian Solar, CSI Solar or any other person that the forecast can or will be achieved.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GAAP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CSI Solar’s financial statements were prepared in accordance with PRC GAAP, whereas Canadian Solar’s financial statements are prepared in accordance with generally accepted accounting principles in the United States (“U.S. GAAP”). PRC GAAP differs materially from U.S. GAAP. We have not prepared a reconciliation of the financial statements between PRC GAAP and U.S. GAAP and has not quantified such differences. In addition, Canadian Solar’s financial statements eliminate all intercompany transactions between Canadian Solar and its subsidiaries. As a result, CSI Solar’s financial statements are not directly comparable to the corresponding consolidated financial performance of Canadian Solar. Investors should consult their own professional advisors for an understanding of the differences between PRC GAAP and U.S. GAAP and how those differences might affect the information contained in the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Audit or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above have not been audited or reviewed by the independent public accountants of Canadian Solar or CSI Solar. The financial statements should not be relied upon by investors to provide the same type or quality of information as information that has been subject to an audit or review by independent auditors.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2026-10-29T06:09:11Z</dcterms:created>
  <dcterms:modified xsi:type="dcterms:W3CDTF">2026-10-29T06:09:11Z</dcterms:modified>
</cp:coreProperties>
</file>